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65A5" w14:textId="77777777" w:rsidR="00991491" w:rsidRDefault="00E11CB3">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31BE67F1" wp14:editId="70A663D0">
            <wp:extent cx="368300" cy="533400"/>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5"/>
                    <a:srcRect/>
                    <a:stretch>
                      <a:fillRect/>
                    </a:stretch>
                  </pic:blipFill>
                  <pic:spPr>
                    <a:xfrm>
                      <a:off x="0" y="0"/>
                      <a:ext cx="368300" cy="53340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4B92320C" w14:textId="77777777" w:rsidR="00991491" w:rsidRDefault="00E11CB3">
      <w:pPr>
        <w:spacing w:after="0" w:line="240" w:lineRule="auto"/>
        <w:jc w:val="both"/>
        <w:rPr>
          <w:rFonts w:ascii="Century Gothic" w:eastAsia="Century Gothic" w:hAnsi="Century Gothic" w:cs="Century Gothic"/>
          <w:b/>
          <w:color w:val="163972"/>
          <w:sz w:val="32"/>
          <w:szCs w:val="32"/>
        </w:rPr>
      </w:pPr>
      <w:r>
        <w:rPr>
          <w:rFonts w:ascii="Century Gothic" w:eastAsia="Century Gothic" w:hAnsi="Century Gothic" w:cs="Century Gothic"/>
          <w:b/>
          <w:color w:val="163972"/>
          <w:sz w:val="32"/>
          <w:szCs w:val="32"/>
        </w:rPr>
        <w:t>Associate Librarian Application</w:t>
      </w:r>
    </w:p>
    <w:p w14:paraId="4296DEA9" w14:textId="77777777" w:rsidR="00991491" w:rsidRDefault="00E11CB3">
      <w:pPr>
        <w:spacing w:after="0" w:line="240" w:lineRule="auto"/>
        <w:jc w:val="both"/>
        <w:rPr>
          <w:rFonts w:ascii="Century Gothic" w:eastAsia="Century Gothic" w:hAnsi="Century Gothic" w:cs="Century Gothic"/>
          <w:b/>
          <w:color w:val="163972"/>
          <w:sz w:val="32"/>
          <w:szCs w:val="32"/>
        </w:rPr>
      </w:pPr>
      <w:r>
        <w:rPr>
          <w:rFonts w:ascii="Century Gothic" w:eastAsia="Century Gothic" w:hAnsi="Century Gothic" w:cs="Century Gothic"/>
          <w:b/>
          <w:color w:val="163972"/>
          <w:sz w:val="32"/>
          <w:szCs w:val="32"/>
        </w:rPr>
        <w:t>Due: October 1, 2021</w:t>
      </w:r>
    </w:p>
    <w:p w14:paraId="30E8CD3E" w14:textId="5615AF81" w:rsidR="00991491" w:rsidRDefault="00991491">
      <w:pPr>
        <w:spacing w:after="0" w:line="240" w:lineRule="auto"/>
        <w:jc w:val="both"/>
        <w:rPr>
          <w:rFonts w:ascii="Century Gothic" w:eastAsia="Century Gothic" w:hAnsi="Century Gothic" w:cs="Century Gothic"/>
          <w:b/>
          <w:color w:val="163972"/>
          <w:sz w:val="32"/>
          <w:szCs w:val="32"/>
        </w:rPr>
      </w:pPr>
    </w:p>
    <w:p w14:paraId="6A6F5F53" w14:textId="77777777" w:rsidR="001D2E07" w:rsidRPr="0062417B" w:rsidRDefault="001D2E07" w:rsidP="001D2E07">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4DA8D2C3" w14:textId="1051AC1F" w:rsidR="001D2E07" w:rsidRPr="0062417B" w:rsidRDefault="001D2E07" w:rsidP="001D2E07">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w:t>
      </w:r>
      <w:r w:rsidR="00AC5DC2">
        <w:rPr>
          <w:rFonts w:ascii="Palatino" w:hAnsi="Palatino"/>
          <w:color w:val="000000" w:themeColor="text1"/>
          <w:bdr w:val="none" w:sz="0" w:space="0" w:color="auto" w:frame="1"/>
        </w:rPr>
        <w:t xml:space="preserve"> for those who will be working on campus or at the prison.</w:t>
      </w:r>
    </w:p>
    <w:p w14:paraId="60AA53FC" w14:textId="77777777" w:rsidR="001D2E07" w:rsidRPr="0062417B" w:rsidRDefault="001D2E07" w:rsidP="001D2E07">
      <w:pPr>
        <w:pStyle w:val="NoSpacing"/>
        <w:rPr>
          <w:rFonts w:ascii="Palatino" w:hAnsi="Palatino" w:cs="Times New Roman"/>
          <w:color w:val="000000" w:themeColor="text1"/>
        </w:rPr>
      </w:pPr>
    </w:p>
    <w:p w14:paraId="0164DFE4" w14:textId="77777777" w:rsidR="001D2E07" w:rsidRPr="0062417B" w:rsidRDefault="001D2E07" w:rsidP="001D2E07">
      <w:pPr>
        <w:pStyle w:val="NoSpacing"/>
        <w:numPr>
          <w:ilvl w:val="0"/>
          <w:numId w:val="3"/>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15EDCC2D" w14:textId="410806F8" w:rsidR="001D2E07" w:rsidRPr="0062417B" w:rsidRDefault="001D2E07" w:rsidP="001D2E07">
      <w:pPr>
        <w:pStyle w:val="NoSpacing"/>
        <w:numPr>
          <w:ilvl w:val="0"/>
          <w:numId w:val="3"/>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5EBEA37A" w14:textId="77777777" w:rsidR="001D2E07" w:rsidRPr="0062417B" w:rsidRDefault="001D2E07" w:rsidP="001D2E07">
      <w:pPr>
        <w:pStyle w:val="NoSpacing"/>
        <w:numPr>
          <w:ilvl w:val="0"/>
          <w:numId w:val="3"/>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52926F73" w14:textId="77777777" w:rsidR="001D2E07" w:rsidRPr="0062417B" w:rsidRDefault="001D2E07" w:rsidP="001D2E07">
      <w:pPr>
        <w:pStyle w:val="NoSpacing"/>
        <w:numPr>
          <w:ilvl w:val="0"/>
          <w:numId w:val="3"/>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56CA7521" w14:textId="77777777" w:rsidR="001D2E07" w:rsidRPr="0062417B" w:rsidRDefault="001D2E07" w:rsidP="001D2E07">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18FAD94F" w14:textId="77777777" w:rsidR="001D2E07" w:rsidRDefault="001D2E07">
      <w:pPr>
        <w:spacing w:after="0" w:line="240" w:lineRule="auto"/>
        <w:jc w:val="both"/>
        <w:rPr>
          <w:rFonts w:ascii="Century Gothic" w:eastAsia="Century Gothic" w:hAnsi="Century Gothic" w:cs="Century Gothic"/>
          <w:b/>
          <w:color w:val="163972"/>
          <w:sz w:val="32"/>
          <w:szCs w:val="32"/>
        </w:rPr>
      </w:pPr>
    </w:p>
    <w:p w14:paraId="6E1680D0" w14:textId="77777777" w:rsidR="00991491" w:rsidRDefault="00E11CB3">
      <w:pPr>
        <w:jc w:val="center"/>
        <w:rPr>
          <w:rFonts w:ascii="Garamond" w:eastAsia="Garamond" w:hAnsi="Garamond" w:cs="Garamond"/>
          <w:i/>
          <w:color w:val="163972"/>
          <w:sz w:val="26"/>
          <w:szCs w:val="26"/>
        </w:rPr>
      </w:pPr>
      <w:r>
        <w:rPr>
          <w:rFonts w:ascii="Garamond" w:eastAsia="Garamond" w:hAnsi="Garamond" w:cs="Garamond"/>
          <w:i/>
          <w:color w:val="163972"/>
          <w:sz w:val="26"/>
          <w:szCs w:val="26"/>
        </w:rPr>
        <w:t xml:space="preserve">The mission of the Education Justice project is to build a model college-in-prison program that demonstrates the positive impacts of higher education upon incarcerated people, their families, the neighborhoods from which they come, the host institution, and </w:t>
      </w:r>
      <w:proofErr w:type="gramStart"/>
      <w:r>
        <w:rPr>
          <w:rFonts w:ascii="Garamond" w:eastAsia="Garamond" w:hAnsi="Garamond" w:cs="Garamond"/>
          <w:i/>
          <w:color w:val="163972"/>
          <w:sz w:val="26"/>
          <w:szCs w:val="26"/>
        </w:rPr>
        <w:t>society as a whole</w:t>
      </w:r>
      <w:proofErr w:type="gramEnd"/>
      <w:r>
        <w:rPr>
          <w:rFonts w:ascii="Garamond" w:eastAsia="Garamond" w:hAnsi="Garamond" w:cs="Garamond"/>
          <w:i/>
          <w:color w:val="163972"/>
          <w:sz w:val="26"/>
          <w:szCs w:val="26"/>
        </w:rPr>
        <w:t>.</w:t>
      </w:r>
    </w:p>
    <w:p w14:paraId="70589BBA" w14:textId="66576EA5" w:rsidR="00991491" w:rsidRDefault="00E11CB3">
      <w:pPr>
        <w:shd w:val="clear" w:color="auto" w:fill="FFFFFF"/>
        <w:rPr>
          <w:rFonts w:ascii="Garamond" w:eastAsia="Garamond" w:hAnsi="Garamond" w:cs="Garamond"/>
          <w:sz w:val="26"/>
          <w:szCs w:val="26"/>
        </w:rPr>
      </w:pPr>
      <w:r>
        <w:rPr>
          <w:rFonts w:ascii="Garamond" w:eastAsia="Garamond" w:hAnsi="Garamond" w:cs="Garamond"/>
          <w:sz w:val="26"/>
          <w:szCs w:val="26"/>
        </w:rPr>
        <w:t xml:space="preserve">Thank you for your interest in the Education Justice Project Community Library!  The Community Library provides resources that serve the research needs of students at Danville Correctional Center.  In addition, we offer programming and community space typical to academic and public libraries—a purposeful third space within the prison. Our primary goal is to </w:t>
      </w:r>
      <w:r w:rsidR="00B42424">
        <w:rPr>
          <w:rFonts w:ascii="Garamond" w:eastAsia="Garamond" w:hAnsi="Garamond" w:cs="Garamond"/>
          <w:sz w:val="26"/>
          <w:szCs w:val="26"/>
        </w:rPr>
        <w:t xml:space="preserve">provide </w:t>
      </w:r>
      <w:r w:rsidR="00AC5DC2">
        <w:rPr>
          <w:rFonts w:ascii="Garamond" w:eastAsia="Garamond" w:hAnsi="Garamond" w:cs="Garamond"/>
          <w:sz w:val="26"/>
          <w:szCs w:val="26"/>
        </w:rPr>
        <w:t>students with equitable access to information.</w:t>
      </w:r>
    </w:p>
    <w:p w14:paraId="125B2BA1" w14:textId="77777777" w:rsidR="00991491" w:rsidRDefault="00E11CB3">
      <w:pPr>
        <w:shd w:val="clear" w:color="auto" w:fill="FFFFFF"/>
        <w:rPr>
          <w:rFonts w:ascii="Garamond" w:eastAsia="Garamond" w:hAnsi="Garamond" w:cs="Garamond"/>
          <w:sz w:val="26"/>
          <w:szCs w:val="26"/>
        </w:rPr>
      </w:pPr>
      <w:r>
        <w:rPr>
          <w:rFonts w:ascii="Garamond" w:eastAsia="Garamond" w:hAnsi="Garamond" w:cs="Garamond"/>
          <w:sz w:val="26"/>
          <w:szCs w:val="26"/>
        </w:rPr>
        <w:t xml:space="preserve">As the library has grown, we have developed two kinds of Associate Librarian roles, on-site and off-site.  The main responsibility of On-site Associate Librarians is to provide guidance and training for our on-site team of incarcerated Student Librarians at DCC. These EJP students have responsibility for building, cataloging, and maintaining a thoughtful collection of print and digital resources, fostering information literacy, and organizing library programming that continues critical thinking and discussion outside the classroom.  Off-site Associate Librarians are active in other areas, including providing students with in-depth </w:t>
      </w:r>
      <w:r>
        <w:rPr>
          <w:rFonts w:ascii="Garamond" w:eastAsia="Garamond" w:hAnsi="Garamond" w:cs="Garamond"/>
          <w:sz w:val="26"/>
          <w:szCs w:val="26"/>
        </w:rPr>
        <w:lastRenderedPageBreak/>
        <w:t>reference support, creating a bibliographic instruction curriculum, sourcing donations, and licensing digital resources.  Both roles are responsible for learning and growing with the EJP community and contributing to a thoughtful Community Library culture.</w:t>
      </w:r>
    </w:p>
    <w:p w14:paraId="4EA5791C" w14:textId="77777777" w:rsidR="00991491" w:rsidRDefault="00E11CB3">
      <w:pPr>
        <w:shd w:val="clear" w:color="auto" w:fill="FFFFFF"/>
        <w:rPr>
          <w:rFonts w:ascii="Garamond" w:eastAsia="Garamond" w:hAnsi="Garamond" w:cs="Garamond"/>
          <w:sz w:val="26"/>
          <w:szCs w:val="26"/>
        </w:rPr>
      </w:pPr>
      <w:r>
        <w:rPr>
          <w:rFonts w:ascii="Garamond" w:eastAsia="Garamond" w:hAnsi="Garamond" w:cs="Garamond"/>
          <w:sz w:val="26"/>
          <w:szCs w:val="26"/>
        </w:rPr>
        <w:t>Required:</w:t>
      </w:r>
    </w:p>
    <w:p w14:paraId="3D23F4CC" w14:textId="77777777" w:rsidR="00991491" w:rsidRDefault="00E11CB3">
      <w:pPr>
        <w:numPr>
          <w:ilvl w:val="0"/>
          <w:numId w:val="1"/>
        </w:numPr>
        <w:spacing w:after="0" w:line="240" w:lineRule="auto"/>
        <w:rPr>
          <w:rFonts w:ascii="Garamond" w:eastAsia="Garamond" w:hAnsi="Garamond" w:cs="Garamond"/>
          <w:sz w:val="26"/>
          <w:szCs w:val="26"/>
        </w:rPr>
      </w:pPr>
      <w:r>
        <w:rPr>
          <w:rFonts w:ascii="Garamond" w:eastAsia="Garamond" w:hAnsi="Garamond" w:cs="Garamond"/>
          <w:sz w:val="26"/>
          <w:szCs w:val="26"/>
        </w:rPr>
        <w:t>Library experience</w:t>
      </w:r>
    </w:p>
    <w:p w14:paraId="277316D8" w14:textId="77777777" w:rsidR="00991491" w:rsidRDefault="00E11CB3">
      <w:pPr>
        <w:numPr>
          <w:ilvl w:val="0"/>
          <w:numId w:val="1"/>
        </w:numPr>
        <w:spacing w:after="0" w:line="240" w:lineRule="auto"/>
        <w:rPr>
          <w:rFonts w:ascii="Garamond" w:eastAsia="Garamond" w:hAnsi="Garamond" w:cs="Garamond"/>
          <w:sz w:val="26"/>
          <w:szCs w:val="26"/>
        </w:rPr>
      </w:pPr>
      <w:r>
        <w:rPr>
          <w:rFonts w:ascii="Garamond" w:eastAsia="Garamond" w:hAnsi="Garamond" w:cs="Garamond"/>
          <w:sz w:val="26"/>
          <w:szCs w:val="26"/>
        </w:rPr>
        <w:t>Excellent organizational and communication skills</w:t>
      </w:r>
    </w:p>
    <w:p w14:paraId="0540230E" w14:textId="77777777" w:rsidR="00991491" w:rsidRDefault="00E11CB3">
      <w:pPr>
        <w:numPr>
          <w:ilvl w:val="0"/>
          <w:numId w:val="1"/>
        </w:numPr>
        <w:spacing w:after="0" w:line="240" w:lineRule="auto"/>
        <w:rPr>
          <w:rFonts w:ascii="Garamond" w:eastAsia="Garamond" w:hAnsi="Garamond" w:cs="Garamond"/>
          <w:sz w:val="26"/>
          <w:szCs w:val="26"/>
        </w:rPr>
      </w:pPr>
      <w:r>
        <w:rPr>
          <w:rFonts w:ascii="Garamond" w:eastAsia="Garamond" w:hAnsi="Garamond" w:cs="Garamond"/>
          <w:sz w:val="26"/>
          <w:szCs w:val="26"/>
        </w:rPr>
        <w:t>Understanding of the social and historical contexts of EJP’s work</w:t>
      </w:r>
    </w:p>
    <w:p w14:paraId="088D879D" w14:textId="77777777" w:rsidR="00991491" w:rsidRDefault="00991491">
      <w:pPr>
        <w:spacing w:after="0" w:line="240" w:lineRule="auto"/>
        <w:rPr>
          <w:rFonts w:ascii="Garamond" w:eastAsia="Garamond" w:hAnsi="Garamond" w:cs="Garamond"/>
          <w:sz w:val="26"/>
          <w:szCs w:val="26"/>
        </w:rPr>
      </w:pPr>
    </w:p>
    <w:p w14:paraId="38983600" w14:textId="77777777" w:rsidR="00991491" w:rsidRDefault="00E11CB3">
      <w:pPr>
        <w:spacing w:after="0" w:line="240" w:lineRule="auto"/>
        <w:rPr>
          <w:rFonts w:ascii="Garamond" w:eastAsia="Garamond" w:hAnsi="Garamond" w:cs="Garamond"/>
          <w:sz w:val="26"/>
          <w:szCs w:val="26"/>
        </w:rPr>
      </w:pPr>
      <w:r>
        <w:rPr>
          <w:rFonts w:ascii="Garamond" w:eastAsia="Garamond" w:hAnsi="Garamond" w:cs="Garamond"/>
          <w:sz w:val="26"/>
          <w:szCs w:val="26"/>
        </w:rPr>
        <w:t>Preferred:</w:t>
      </w:r>
    </w:p>
    <w:p w14:paraId="425C7F08" w14:textId="77777777" w:rsidR="00991491" w:rsidRDefault="00991491">
      <w:pPr>
        <w:spacing w:after="0" w:line="240" w:lineRule="auto"/>
        <w:rPr>
          <w:rFonts w:ascii="Garamond" w:eastAsia="Garamond" w:hAnsi="Garamond" w:cs="Garamond"/>
          <w:sz w:val="26"/>
          <w:szCs w:val="26"/>
        </w:rPr>
      </w:pPr>
    </w:p>
    <w:p w14:paraId="7182385C" w14:textId="77777777" w:rsidR="00991491" w:rsidRDefault="00E11CB3">
      <w:pPr>
        <w:numPr>
          <w:ilvl w:val="0"/>
          <w:numId w:val="2"/>
        </w:numPr>
        <w:spacing w:after="0" w:line="240" w:lineRule="auto"/>
        <w:rPr>
          <w:rFonts w:ascii="Garamond" w:eastAsia="Garamond" w:hAnsi="Garamond" w:cs="Garamond"/>
          <w:sz w:val="26"/>
          <w:szCs w:val="26"/>
        </w:rPr>
      </w:pPr>
      <w:r>
        <w:rPr>
          <w:rFonts w:ascii="Garamond" w:eastAsia="Garamond" w:hAnsi="Garamond" w:cs="Garamond"/>
          <w:sz w:val="26"/>
          <w:szCs w:val="26"/>
        </w:rPr>
        <w:t>MLIS degree completed or in progress</w:t>
      </w:r>
    </w:p>
    <w:p w14:paraId="2BB91530" w14:textId="77777777" w:rsidR="00991491" w:rsidRDefault="00E11CB3">
      <w:pPr>
        <w:numPr>
          <w:ilvl w:val="0"/>
          <w:numId w:val="2"/>
        </w:numPr>
        <w:spacing w:after="0" w:line="240" w:lineRule="auto"/>
        <w:rPr>
          <w:rFonts w:ascii="Garamond" w:eastAsia="Garamond" w:hAnsi="Garamond" w:cs="Garamond"/>
          <w:sz w:val="26"/>
          <w:szCs w:val="26"/>
        </w:rPr>
      </w:pPr>
      <w:proofErr w:type="gramStart"/>
      <w:r>
        <w:rPr>
          <w:rFonts w:ascii="Garamond" w:eastAsia="Garamond" w:hAnsi="Garamond" w:cs="Garamond"/>
          <w:sz w:val="26"/>
          <w:szCs w:val="26"/>
        </w:rPr>
        <w:t>Team-building</w:t>
      </w:r>
      <w:proofErr w:type="gramEnd"/>
      <w:r>
        <w:rPr>
          <w:rFonts w:ascii="Garamond" w:eastAsia="Garamond" w:hAnsi="Garamond" w:cs="Garamond"/>
          <w:sz w:val="26"/>
          <w:szCs w:val="26"/>
        </w:rPr>
        <w:t xml:space="preserve"> and management experience </w:t>
      </w:r>
    </w:p>
    <w:p w14:paraId="766E9E56" w14:textId="77777777" w:rsidR="00991491" w:rsidRDefault="00991491">
      <w:pPr>
        <w:shd w:val="clear" w:color="auto" w:fill="FFFFFF"/>
        <w:spacing w:after="240"/>
        <w:rPr>
          <w:rFonts w:ascii="Garamond" w:eastAsia="Garamond" w:hAnsi="Garamond" w:cs="Garamond"/>
          <w:sz w:val="26"/>
          <w:szCs w:val="26"/>
        </w:rPr>
      </w:pPr>
    </w:p>
    <w:p w14:paraId="54BA4BF5" w14:textId="2844D2A4" w:rsidR="00991491" w:rsidRDefault="00E11CB3">
      <w:pPr>
        <w:shd w:val="clear" w:color="auto" w:fill="FFFFFF"/>
        <w:spacing w:after="240"/>
        <w:rPr>
          <w:rFonts w:ascii="Garamond" w:eastAsia="Garamond" w:hAnsi="Garamond" w:cs="Garamond"/>
          <w:sz w:val="26"/>
          <w:szCs w:val="26"/>
        </w:rPr>
      </w:pPr>
      <w:r>
        <w:rPr>
          <w:rFonts w:ascii="Garamond" w:eastAsia="Garamond" w:hAnsi="Garamond" w:cs="Garamond"/>
          <w:sz w:val="26"/>
          <w:szCs w:val="26"/>
        </w:rPr>
        <w:t>We welcome applications from all qualified applicants.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Clearance is required for those who want to work in the prison but is not a requirement for joining the library.</w:t>
      </w:r>
    </w:p>
    <w:p w14:paraId="0A00CB47" w14:textId="77777777" w:rsidR="00991491" w:rsidRDefault="00E11CB3">
      <w:pPr>
        <w:shd w:val="clear" w:color="auto" w:fill="FFFFFF"/>
        <w:spacing w:after="240"/>
        <w:rPr>
          <w:rFonts w:ascii="Garamond" w:eastAsia="Garamond" w:hAnsi="Garamond" w:cs="Garamond"/>
          <w:sz w:val="26"/>
          <w:szCs w:val="26"/>
        </w:rPr>
      </w:pPr>
      <w:r>
        <w:rPr>
          <w:rFonts w:ascii="Garamond" w:eastAsia="Garamond" w:hAnsi="Garamond" w:cs="Garamond"/>
          <w:sz w:val="26"/>
          <w:szCs w:val="26"/>
        </w:rPr>
        <w:t xml:space="preserve">To apply, please send a cover letter, CV/ resume, and two professional references to Rebecca Bott, EJP Community Librarian, by October 1, </w:t>
      </w:r>
      <w:proofErr w:type="gramStart"/>
      <w:r>
        <w:rPr>
          <w:rFonts w:ascii="Garamond" w:eastAsia="Garamond" w:hAnsi="Garamond" w:cs="Garamond"/>
          <w:sz w:val="26"/>
          <w:szCs w:val="26"/>
        </w:rPr>
        <w:t>2021</w:t>
      </w:r>
      <w:proofErr w:type="gramEnd"/>
      <w:r>
        <w:rPr>
          <w:rFonts w:ascii="Garamond" w:eastAsia="Garamond" w:hAnsi="Garamond" w:cs="Garamond"/>
          <w:sz w:val="26"/>
          <w:szCs w:val="26"/>
        </w:rPr>
        <w:t xml:space="preserve"> at: rebecca.bott@gmail.com.  The letter should address your reasons for applying with EJP, your reflections about working in a prison (including any apprehensions or concerns you might have), and anything else you want us to know about your suitability for this work.</w:t>
      </w:r>
    </w:p>
    <w:p w14:paraId="5B830B07" w14:textId="77777777" w:rsidR="00991491" w:rsidRDefault="00991491">
      <w:pPr>
        <w:shd w:val="clear" w:color="auto" w:fill="FFFFFF"/>
        <w:spacing w:after="240"/>
        <w:rPr>
          <w:rFonts w:ascii="Garamond" w:eastAsia="Garamond" w:hAnsi="Garamond" w:cs="Garamond"/>
          <w:sz w:val="26"/>
          <w:szCs w:val="26"/>
        </w:rPr>
      </w:pPr>
    </w:p>
    <w:p w14:paraId="4D4AFA23" w14:textId="77777777" w:rsidR="00991491" w:rsidRDefault="00E11CB3">
      <w:pPr>
        <w:shd w:val="clear" w:color="auto" w:fill="FFFFFF"/>
        <w:spacing w:after="240"/>
        <w:jc w:val="center"/>
        <w:rPr>
          <w:rFonts w:ascii="Garamond" w:eastAsia="Garamond" w:hAnsi="Garamond" w:cs="Garamond"/>
          <w:b/>
          <w:sz w:val="26"/>
          <w:szCs w:val="26"/>
        </w:rPr>
      </w:pPr>
      <w:r>
        <w:rPr>
          <w:rFonts w:ascii="Garamond" w:eastAsia="Garamond" w:hAnsi="Garamond" w:cs="Garamond"/>
          <w:b/>
          <w:sz w:val="26"/>
          <w:szCs w:val="26"/>
        </w:rPr>
        <w:t>Thank you for your interest in the EJP Library!</w:t>
      </w:r>
    </w:p>
    <w:p w14:paraId="506AEE73" w14:textId="77777777" w:rsidR="00991491" w:rsidRDefault="00991491">
      <w:pPr>
        <w:shd w:val="clear" w:color="auto" w:fill="FFFFFF"/>
        <w:spacing w:after="240"/>
        <w:rPr>
          <w:rFonts w:ascii="Garamond" w:eastAsia="Garamond" w:hAnsi="Garamond" w:cs="Garamond"/>
          <w:sz w:val="26"/>
          <w:szCs w:val="26"/>
        </w:rPr>
      </w:pPr>
    </w:p>
    <w:p w14:paraId="314A9489" w14:textId="77777777" w:rsidR="00991491" w:rsidRDefault="00E11CB3">
      <w:pPr>
        <w:spacing w:after="0" w:line="240" w:lineRule="auto"/>
        <w:rPr>
          <w:rFonts w:ascii="Palatino" w:eastAsia="Palatino" w:hAnsi="Palatino" w:cs="Palatino"/>
          <w:sz w:val="26"/>
          <w:szCs w:val="26"/>
        </w:rPr>
      </w:pPr>
      <w:r>
        <w:rPr>
          <w:rFonts w:ascii="Palatino" w:eastAsia="Palatino" w:hAnsi="Palatino" w:cs="Palatino"/>
          <w:sz w:val="26"/>
          <w:szCs w:val="26"/>
        </w:rPr>
        <w:t>Education Justice Project</w:t>
      </w:r>
    </w:p>
    <w:p w14:paraId="15310EAF" w14:textId="77777777" w:rsidR="00991491" w:rsidRDefault="00E11CB3">
      <w:pPr>
        <w:spacing w:after="0" w:line="240" w:lineRule="auto"/>
        <w:rPr>
          <w:rFonts w:ascii="Palatino" w:eastAsia="Palatino" w:hAnsi="Palatino" w:cs="Palatino"/>
          <w:color w:val="191919"/>
          <w:sz w:val="26"/>
          <w:szCs w:val="26"/>
        </w:rPr>
      </w:pPr>
      <w:r>
        <w:rPr>
          <w:rFonts w:ascii="Palatino" w:eastAsia="Palatino" w:hAnsi="Palatino" w:cs="Palatino"/>
          <w:color w:val="191919"/>
          <w:sz w:val="26"/>
          <w:szCs w:val="26"/>
        </w:rPr>
        <w:t>University of Illinois</w:t>
      </w:r>
    </w:p>
    <w:p w14:paraId="160D0AEC" w14:textId="77777777" w:rsidR="00991491" w:rsidRDefault="00E11CB3">
      <w:pPr>
        <w:spacing w:after="0" w:line="240" w:lineRule="auto"/>
        <w:rPr>
          <w:rFonts w:ascii="Palatino" w:eastAsia="Palatino" w:hAnsi="Palatino" w:cs="Palatino"/>
          <w:color w:val="191919"/>
          <w:sz w:val="26"/>
          <w:szCs w:val="26"/>
        </w:rPr>
      </w:pPr>
      <w:r>
        <w:rPr>
          <w:rFonts w:ascii="Palatino" w:eastAsia="Palatino" w:hAnsi="Palatino" w:cs="Palatino"/>
          <w:color w:val="191919"/>
          <w:sz w:val="26"/>
          <w:szCs w:val="26"/>
        </w:rPr>
        <w:t>1001 S. Wright St.</w:t>
      </w:r>
    </w:p>
    <w:p w14:paraId="0D68ADD2" w14:textId="77777777" w:rsidR="00991491" w:rsidRDefault="00E11CB3">
      <w:pPr>
        <w:spacing w:after="0" w:line="240" w:lineRule="auto"/>
        <w:rPr>
          <w:rFonts w:ascii="Palatino" w:eastAsia="Palatino" w:hAnsi="Palatino" w:cs="Palatino"/>
          <w:sz w:val="26"/>
          <w:szCs w:val="26"/>
        </w:rPr>
      </w:pPr>
      <w:r>
        <w:rPr>
          <w:rFonts w:ascii="Palatino" w:eastAsia="Palatino" w:hAnsi="Palatino" w:cs="Palatino"/>
          <w:color w:val="191919"/>
          <w:sz w:val="26"/>
          <w:szCs w:val="26"/>
        </w:rPr>
        <w:t>Champaign, IL 61820</w:t>
      </w:r>
    </w:p>
    <w:p w14:paraId="03E0F99B" w14:textId="77777777" w:rsidR="00991491" w:rsidRDefault="00E11CB3">
      <w:pPr>
        <w:spacing w:after="0" w:line="240" w:lineRule="auto"/>
        <w:rPr>
          <w:rFonts w:ascii="Palatino" w:eastAsia="Palatino" w:hAnsi="Palatino" w:cs="Palatino"/>
          <w:sz w:val="26"/>
          <w:szCs w:val="26"/>
        </w:rPr>
      </w:pPr>
      <w:r>
        <w:rPr>
          <w:rFonts w:ascii="Palatino" w:eastAsia="Palatino" w:hAnsi="Palatino" w:cs="Palatino"/>
          <w:sz w:val="26"/>
          <w:szCs w:val="26"/>
        </w:rPr>
        <w:t>217-300-5150</w:t>
      </w:r>
    </w:p>
    <w:p w14:paraId="35465D0E" w14:textId="77777777" w:rsidR="00991491" w:rsidRDefault="00E11CB3">
      <w:pPr>
        <w:spacing w:after="0" w:line="240" w:lineRule="auto"/>
        <w:rPr>
          <w:rFonts w:ascii="Palatino" w:eastAsia="Palatino" w:hAnsi="Palatino" w:cs="Palatino"/>
          <w:sz w:val="26"/>
          <w:szCs w:val="26"/>
        </w:rPr>
      </w:pPr>
      <w:r>
        <w:rPr>
          <w:rFonts w:ascii="Palatino" w:eastAsia="Palatino" w:hAnsi="Palatino" w:cs="Palatino"/>
          <w:sz w:val="26"/>
          <w:szCs w:val="26"/>
        </w:rPr>
        <w:t>www.educationjustice.net</w:t>
      </w:r>
    </w:p>
    <w:p w14:paraId="676CC537" w14:textId="77777777" w:rsidR="00991491" w:rsidRDefault="00991491">
      <w:pPr>
        <w:shd w:val="clear" w:color="auto" w:fill="FFFFFF"/>
        <w:rPr>
          <w:rFonts w:ascii="Garamond" w:eastAsia="Garamond" w:hAnsi="Garamond" w:cs="Garamond"/>
          <w:sz w:val="32"/>
          <w:szCs w:val="32"/>
        </w:rPr>
      </w:pPr>
    </w:p>
    <w:p w14:paraId="52D6B4BB" w14:textId="77777777" w:rsidR="00991491" w:rsidRDefault="00991491">
      <w:pPr>
        <w:shd w:val="clear" w:color="auto" w:fill="FFFFFF"/>
        <w:rPr>
          <w:rFonts w:ascii="Garamond" w:eastAsia="Garamond" w:hAnsi="Garamond" w:cs="Garamond"/>
          <w:sz w:val="32"/>
          <w:szCs w:val="32"/>
        </w:rPr>
      </w:pPr>
    </w:p>
    <w:p w14:paraId="11E05D67" w14:textId="77777777" w:rsidR="00991491" w:rsidRDefault="00991491">
      <w:pPr>
        <w:shd w:val="clear" w:color="auto" w:fill="FFFFFF"/>
        <w:rPr>
          <w:rFonts w:ascii="Arial" w:eastAsia="Arial" w:hAnsi="Arial" w:cs="Arial"/>
          <w:sz w:val="24"/>
          <w:szCs w:val="24"/>
        </w:rPr>
      </w:pPr>
    </w:p>
    <w:p w14:paraId="676BE85F" w14:textId="77777777" w:rsidR="00991491" w:rsidRDefault="00991491"/>
    <w:sectPr w:rsidR="009914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Palatino Linotype"/>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17F6"/>
    <w:multiLevelType w:val="multilevel"/>
    <w:tmpl w:val="F6DC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46534"/>
    <w:multiLevelType w:val="multilevel"/>
    <w:tmpl w:val="A86E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91"/>
    <w:rsid w:val="001D2E07"/>
    <w:rsid w:val="006C79FA"/>
    <w:rsid w:val="007964BA"/>
    <w:rsid w:val="00991491"/>
    <w:rsid w:val="00AC5DC2"/>
    <w:rsid w:val="00B42424"/>
    <w:rsid w:val="00E1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7D63"/>
  <w15:docId w15:val="{F7E1266A-1529-3449-8E2D-14039E9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line="240" w:lineRule="auto"/>
      <w:ind w:left="720" w:hanging="720"/>
      <w:outlineLvl w:val="2"/>
    </w:pPr>
    <w:rPr>
      <w:rFonts w:ascii="Arial" w:eastAsia="Arial" w:hAnsi="Arial" w:cs="Arial"/>
      <w:b/>
      <w:color w:val="0000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D2E07"/>
    <w:pPr>
      <w:pBdr>
        <w:top w:val="nil"/>
        <w:left w:val="nil"/>
        <w:bottom w:val="nil"/>
        <w:right w:val="nil"/>
        <w:between w:val="nil"/>
      </w:pBd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2021-08-11T22:24:00Z</dcterms:created>
  <dcterms:modified xsi:type="dcterms:W3CDTF">2021-08-11T22:24:00Z</dcterms:modified>
</cp:coreProperties>
</file>